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2"/>
        <w:ind w:left="0" w:firstLine="0"/>
        <w:spacing w:after="240" w:line="240" w:lineRule="auto"/>
      </w:pPr>
      <w:r>
        <w:rPr>
          <w:sz w:val="24"/>
          <w:szCs w:val="24"/>
          <w:lang w:val="pt-PT"/>
        </w:rPr>
        <w:t xml:space="preserve">American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way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of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life</w:t>
      </w:r>
      <w:r>
        <w:rPr>
          <w:sz w:val="24"/>
          <w:szCs w:val="24"/>
          <w:lang w:val="pt-PT"/>
        </w:rPr>
        <w:t xml:space="preserve">- estilo de vida americano-valorização da moda, automóveis como exemplos de bens de consumo</w:t>
      </w:r>
      <w:r>
        <w:rPr>
          <w:sz w:val="24"/>
          <w:szCs w:val="24"/>
        </w:rPr>
      </w:r>
      <w:r/>
    </w:p>
    <w:p>
      <w:pPr>
        <w:pStyle w:val="1_632"/>
        <w:ind w:left="0" w:firstLine="0"/>
        <w:spacing w:after="240" w:line="240" w:lineRule="auto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_632"/>
        <w:ind w:left="0" w:firstLine="0"/>
        <w:spacing w:after="240" w:line="240" w:lineRule="auto"/>
      </w:pPr>
      <w:r>
        <w:rPr>
          <w:sz w:val="24"/>
          <w:szCs w:val="24"/>
          <w:lang w:val="pt-PT"/>
        </w:rPr>
        <w:t xml:space="preserve">Sociedade de consumo- Elevado consumo de bens muitas vezes supérfluos, promovendo o aumento da população.</w:t>
      </w:r>
      <w:r>
        <w:rPr>
          <w:sz w:val="24"/>
          <w:szCs w:val="24"/>
        </w:rPr>
      </w:r>
      <w:r/>
    </w:p>
    <w:p>
      <w:pPr>
        <w:pStyle w:val="1_632"/>
        <w:ind w:left="0" w:firstLine="0"/>
        <w:spacing w:after="240" w:line="240" w:lineRule="auto"/>
      </w:pPr>
      <w:r>
        <w:rPr>
          <w:sz w:val="24"/>
          <w:szCs w:val="24"/>
          <w:lang w:val="pt-PT" w:eastAsia="pt-PT"/>
        </w:rPr>
      </w:r>
      <w:r>
        <w:rPr>
          <w:sz w:val="24"/>
          <w:szCs w:val="24"/>
        </w:rPr>
      </w:r>
      <w:r/>
    </w:p>
    <w:p>
      <w:pPr>
        <w:pStyle w:val="1_632"/>
        <w:ind w:left="0" w:firstLine="0"/>
        <w:spacing w:after="240" w:line="240" w:lineRule="auto"/>
      </w:pPr>
      <w:r>
        <w:rPr>
          <w:sz w:val="24"/>
          <w:szCs w:val="24"/>
        </w:rPr>
        <w:t xml:space="preserve">Fator que permitiu o crescimento económico dos EUA ?</w:t>
      </w:r>
      <w:r>
        <w:rPr>
          <w:sz w:val="24"/>
          <w:szCs w:val="24"/>
        </w:rPr>
      </w:r>
      <w:r/>
    </w:p>
    <w:p>
      <w:pPr>
        <w:pStyle w:val="1_632"/>
      </w:pPr>
      <w:r>
        <w:rPr>
          <w:rStyle w:val="1_634"/>
          <w:color w:val="ea5045"/>
          <w:sz w:val="24"/>
          <w:szCs w:val="24"/>
        </w:rPr>
        <w:t xml:space="preserve">. </w:t>
      </w:r>
      <w:r>
        <w:rPr>
          <w:rStyle w:val="1_634"/>
          <w:bCs w:val="0"/>
          <w:color w:val="auto"/>
          <w:sz w:val="24"/>
          <w:szCs w:val="24"/>
        </w:rPr>
        <w:t xml:space="preserve">O fator para o cres</w:t>
      </w:r>
      <w:r>
        <w:rPr>
          <w:rStyle w:val="1_634"/>
          <w:bCs w:val="0"/>
          <w:color w:val="auto"/>
          <w:sz w:val="24"/>
          <w:szCs w:val="24"/>
        </w:rPr>
        <w:t xml:space="preserve">cimento económico dos EUA relaciona-se com a sociedade de consumo e o desenvolvimento das técnicas de </w:t>
      </w:r>
      <w:r>
        <w:rPr>
          <w:rStyle w:val="1_634"/>
          <w:bCs w:val="0"/>
          <w:i/>
          <w:iCs/>
          <w:color w:val="auto"/>
          <w:sz w:val="24"/>
          <w:szCs w:val="24"/>
        </w:rPr>
        <w:t xml:space="preserve">marketing</w:t>
      </w:r>
      <w:r>
        <w:rPr>
          <w:rStyle w:val="1_634"/>
          <w:bCs w:val="0"/>
          <w:color w:val="auto"/>
          <w:sz w:val="24"/>
          <w:szCs w:val="24"/>
        </w:rPr>
        <w:t xml:space="preserve"> e p</w:t>
      </w:r>
      <w:r>
        <w:rPr>
          <w:rStyle w:val="1_634"/>
          <w:bCs w:val="0"/>
          <w:color w:val="auto"/>
          <w:sz w:val="24"/>
          <w:szCs w:val="24"/>
        </w:rPr>
        <w:t xml:space="preserve">ublicidade</w:t>
      </w:r>
      <w:r>
        <w:rPr>
          <w:rStyle w:val="1_634"/>
          <w:bCs w:val="0"/>
          <w:color w:val="auto"/>
          <w:sz w:val="24"/>
          <w:szCs w:val="24"/>
        </w:rPr>
        <w:t xml:space="preserve">. Assim, os cartazes nas ruas relativos às</w:t>
      </w:r>
      <w:r>
        <w:rPr>
          <w:rStyle w:val="1_634"/>
          <w:bCs w:val="0"/>
          <w:color w:val="auto"/>
          <w:sz w:val="24"/>
          <w:szCs w:val="24"/>
        </w:rPr>
        <w:t xml:space="preserve"> marcas americanas, incentivam</w:t>
      </w:r>
      <w:r>
        <w:rPr>
          <w:rStyle w:val="1_634"/>
          <w:bCs w:val="0"/>
          <w:color w:val="auto"/>
          <w:sz w:val="24"/>
          <w:szCs w:val="24"/>
        </w:rPr>
        <w:t xml:space="preserve"> as populações a comprar.</w:t>
      </w:r>
      <w:r>
        <w:rPr>
          <w:sz w:val="24"/>
          <w:szCs w:val="24"/>
        </w:rPr>
      </w:r>
      <w:r/>
    </w:p>
    <w:p>
      <w:pPr>
        <w:pStyle w:val="1_632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_632"/>
        <w:ind w:left="0" w:firstLine="0"/>
        <w:spacing w:after="240" w:line="240" w:lineRule="auto"/>
      </w:pPr>
      <w:r>
        <w:rPr>
          <w:bCs w:val="0"/>
          <w:color w:val="auto"/>
          <w:sz w:val="18"/>
          <w:szCs w:val="18"/>
          <w:lang w:val="pt-PT"/>
        </w:rPr>
        <w:t xml:space="preserve">Ver nome Nome dos países membros da </w:t>
      </w:r>
      <w:r>
        <w:rPr>
          <w:bCs w:val="0"/>
          <w:color w:val="auto"/>
          <w:sz w:val="18"/>
          <w:szCs w:val="18"/>
          <w:lang w:val="pt-PT"/>
        </w:rPr>
        <w:t xml:space="preserve">UE</w:t>
      </w:r>
      <w:r>
        <w:rPr>
          <w:color w:val="auto"/>
          <w:sz w:val="18"/>
          <w:szCs w:val="18"/>
          <w:highlight w:val="none"/>
          <w:lang w:val="pt-PT"/>
        </w:rPr>
      </w:r>
      <w:r/>
    </w:p>
    <w:p>
      <w:pPr>
        <w:pStyle w:val="1_632"/>
        <w:ind w:left="0" w:firstLine="0"/>
        <w:spacing w:after="240" w:line="240" w:lineRule="auto"/>
        <w:rPr>
          <w:color w:val="auto"/>
          <w:sz w:val="18"/>
          <w:szCs w:val="18"/>
          <w:highlight w:val="none"/>
          <w:lang w:val="pt-PT"/>
        </w:rPr>
      </w:pPr>
      <w:r>
        <w:rPr>
          <w:bCs w:val="0"/>
          <w:color w:val="auto"/>
          <w:sz w:val="18"/>
          <w:szCs w:val="18"/>
          <w:highlight w:val="none"/>
          <w:lang w:val="pt-PT"/>
        </w:rPr>
        <w:t xml:space="preserve">Data do Tratado fundador da CEE-1957-Tratado de Roma</w:t>
      </w:r>
      <w:r>
        <w:rPr>
          <w:color w:val="auto"/>
          <w:sz w:val="18"/>
          <w:szCs w:val="18"/>
          <w:highlight w:val="none"/>
          <w:lang w:val="pt-PT"/>
        </w:rPr>
      </w:r>
      <w:r/>
    </w:p>
    <w:p>
      <w:pPr>
        <w:pStyle w:val="1_632"/>
        <w:ind w:left="0" w:firstLine="0"/>
        <w:spacing w:after="240" w:line="240" w:lineRule="auto"/>
        <w:rPr>
          <w:color w:val="auto"/>
          <w:sz w:val="18"/>
          <w:szCs w:val="18"/>
          <w:highlight w:val="none"/>
          <w:lang w:val="pt-PT"/>
        </w:rPr>
      </w:pPr>
      <w:r>
        <w:rPr>
          <w:color w:val="auto"/>
          <w:sz w:val="18"/>
          <w:szCs w:val="18"/>
          <w:highlight w:val="none"/>
          <w:lang w:val="pt-PT"/>
        </w:rPr>
        <w:t xml:space="preserve">Países fundadores da União Europeia- França, Países Baixos, Bélgica, Luxemburgo,Itália e República Federal da Alemanha</w:t>
      </w:r>
      <w:r>
        <w:rPr>
          <w:color w:val="auto"/>
          <w:sz w:val="18"/>
          <w:szCs w:val="18"/>
          <w:highlight w:val="none"/>
          <w:lang w:val="pt-PT"/>
        </w:rPr>
      </w:r>
    </w:p>
    <w:p>
      <w:pPr>
        <w:pStyle w:val="1_632"/>
        <w:ind w:left="0" w:firstLine="0"/>
        <w:spacing w:after="240" w:line="240" w:lineRule="auto"/>
      </w:pPr>
      <w:r>
        <w:rPr>
          <w:bCs w:val="0"/>
          <w:color w:val="auto"/>
          <w:sz w:val="18"/>
          <w:szCs w:val="18"/>
          <w:highlight w:val="none"/>
          <w:lang w:val="pt-PT"/>
        </w:rPr>
        <w:t xml:space="preserve">Atualmente existem 27 Estados-membros na UE</w:t>
      </w:r>
      <w:r>
        <w:rPr>
          <w:color w:val="auto"/>
          <w:sz w:val="18"/>
          <w:szCs w:val="18"/>
          <w:lang w:val="pt-PT"/>
        </w:rPr>
      </w:r>
      <w:r/>
    </w:p>
    <w:p>
      <w:pPr>
        <w:pStyle w:val="1_633"/>
        <w:ind w:left="79" w:firstLine="0"/>
        <w:spacing w:before="0" w:after="240"/>
        <w:tabs>
          <w:tab w:val="left" w:pos="79" w:leader="none"/>
        </w:tabs>
      </w:pPr>
      <w:r>
        <w:rPr>
          <w:rStyle w:val="1_631"/>
          <w:color w:val="auto"/>
          <w:sz w:val="18"/>
          <w:szCs w:val="18"/>
        </w:rPr>
        <w:t xml:space="preserve">Tratado de Roma</w:t>
      </w:r>
      <w:r>
        <w:rPr>
          <w:rStyle w:val="1_631"/>
          <w:color w:val="auto"/>
          <w:sz w:val="18"/>
          <w:szCs w:val="18"/>
          <w:highlight w:val="none"/>
        </w:rPr>
      </w:r>
      <w:r>
        <w:rPr>
          <w:rStyle w:val="1_631"/>
        </w:rPr>
      </w:r>
    </w:p>
    <w:p>
      <w:pPr>
        <w:pStyle w:val="1_633"/>
        <w:ind w:left="79" w:firstLine="0"/>
        <w:spacing w:before="0" w:after="240"/>
        <w:tabs>
          <w:tab w:val="left" w:pos="79" w:leader="none"/>
        </w:tabs>
      </w:pPr>
      <w:r>
        <w:rPr>
          <w:rStyle w:val="1_631"/>
          <w:color w:val="auto"/>
          <w:sz w:val="18"/>
          <w:szCs w:val="18"/>
          <w:highlight w:val="none"/>
          <w:lang w:val="pt-PT"/>
        </w:rPr>
        <w:t xml:space="preserve">Objetivos da CEE</w:t>
      </w:r>
      <w:r/>
      <w:r/>
    </w:p>
    <w:p>
      <w:pPr>
        <w:pStyle w:val="1_633"/>
        <w:ind w:left="79" w:firstLine="0"/>
        <w:spacing w:before="0"/>
        <w:tabs>
          <w:tab w:val="left" w:pos="79" w:leader="none"/>
        </w:tabs>
      </w:pPr>
      <w:r>
        <w:rPr>
          <w:rStyle w:val="1_631"/>
          <w:b w:val="0"/>
          <w:bCs w:val="0"/>
          <w:color w:val="auto"/>
          <w:sz w:val="18"/>
          <w:szCs w:val="18"/>
        </w:rPr>
        <w:t xml:space="preserve">A ação da Comunidade Europeia implica […]:</w:t>
      </w:r>
      <w:r/>
      <w:r/>
    </w:p>
    <w:p>
      <w:pPr>
        <w:pStyle w:val="1_633"/>
        <w:ind w:left="79" w:firstLine="0"/>
        <w:spacing w:before="0"/>
        <w:tabs>
          <w:tab w:val="left" w:pos="79" w:leader="none"/>
        </w:tabs>
      </w:pPr>
      <w:r>
        <w:rPr>
          <w:rStyle w:val="1_631"/>
          <w:b w:val="0"/>
          <w:bCs w:val="0"/>
          <w:color w:val="auto"/>
          <w:sz w:val="18"/>
          <w:szCs w:val="18"/>
        </w:rPr>
        <w:t xml:space="preserve">a) a eliminação, entre Estados-membros, dos direitos alfandegários […];</w:t>
      </w:r>
      <w:r/>
      <w:r/>
    </w:p>
    <w:p>
      <w:pPr>
        <w:pStyle w:val="1_633"/>
        <w:ind w:left="79" w:firstLine="0"/>
        <w:spacing w:before="0"/>
        <w:tabs>
          <w:tab w:val="left" w:pos="79" w:leader="none"/>
        </w:tabs>
      </w:pPr>
      <w:r>
        <w:rPr>
          <w:rStyle w:val="1_631"/>
          <w:b w:val="0"/>
          <w:bCs w:val="0"/>
          <w:color w:val="auto"/>
          <w:sz w:val="18"/>
          <w:szCs w:val="18"/>
        </w:rPr>
        <w:t xml:space="preserve">b) abolição, entre Estados-membros, dos obstáculos à livre circulação de pessoas, serviços e capitais;</w:t>
      </w:r>
      <w:r/>
      <w:r/>
    </w:p>
    <w:p>
      <w:pPr>
        <w:pStyle w:val="1_633"/>
        <w:ind w:left="79" w:firstLine="0"/>
        <w:spacing w:before="0"/>
        <w:tabs>
          <w:tab w:val="left" w:pos="79" w:leader="none"/>
        </w:tabs>
      </w:pPr>
      <w:r>
        <w:rPr>
          <w:rStyle w:val="1_631"/>
          <w:b w:val="0"/>
          <w:bCs w:val="0"/>
          <w:color w:val="auto"/>
          <w:sz w:val="18"/>
          <w:szCs w:val="18"/>
        </w:rPr>
        <w:t xml:space="preserve">c) instauração de uma política comum n</w:t>
      </w:r>
      <w:r>
        <w:rPr>
          <w:rStyle w:val="1_631"/>
          <w:b w:val="0"/>
          <w:bCs w:val="0"/>
          <w:color w:val="auto"/>
          <w:sz w:val="18"/>
          <w:szCs w:val="18"/>
        </w:rPr>
        <w:t xml:space="preserve">o domínio da agricultura;</w:t>
      </w:r>
      <w:r/>
      <w:r/>
    </w:p>
    <w:p>
      <w:pPr>
        <w:pStyle w:val="1_633"/>
        <w:ind w:left="79" w:firstLine="0"/>
        <w:spacing w:before="0" w:after="240"/>
        <w:tabs>
          <w:tab w:val="left" w:pos="79" w:leader="none"/>
        </w:tabs>
      </w:pPr>
      <w:r>
        <w:rPr>
          <w:rStyle w:val="1_631"/>
          <w:b w:val="0"/>
          <w:bCs w:val="0"/>
          <w:color w:val="auto"/>
          <w:sz w:val="18"/>
          <w:szCs w:val="18"/>
        </w:rPr>
        <w:t xml:space="preserve">d) adoção de uma política comum no domínio dos transportes.</w:t>
      </w:r>
      <w:r/>
      <w:r/>
    </w:p>
    <w:p>
      <w:pPr>
        <w:pStyle w:val="1_633"/>
        <w:ind w:left="79" w:firstLine="0"/>
        <w:spacing w:before="0" w:after="240"/>
        <w:tabs>
          <w:tab w:val="left" w:pos="79" w:leader="none"/>
        </w:tabs>
      </w:pPr>
      <w:r>
        <w:rPr>
          <w:rStyle w:val="1_631"/>
          <w:color w:val="auto"/>
          <w:sz w:val="18"/>
          <w:szCs w:val="18"/>
          <w:lang w:val="pt-PT"/>
        </w:rPr>
        <w:t xml:space="preserve">A importância do </w:t>
      </w:r>
      <w:r>
        <w:rPr>
          <w:rStyle w:val="1_631"/>
          <w:color w:val="auto"/>
          <w:sz w:val="18"/>
          <w:szCs w:val="18"/>
        </w:rPr>
        <w:t xml:space="preserve">Tratado de Maastricht</w:t>
      </w:r>
      <w:r/>
      <w:r/>
    </w:p>
    <w:p>
      <w:pPr>
        <w:pStyle w:val="1_633"/>
        <w:ind w:left="79" w:firstLine="0"/>
        <w:spacing w:before="0" w:after="240"/>
        <w:tabs>
          <w:tab w:val="left" w:pos="79" w:leader="none"/>
        </w:tabs>
        <w:rPr>
          <w:color w:val="auto"/>
          <w:sz w:val="18"/>
          <w:szCs w:val="18"/>
          <w:highlight w:val="none"/>
        </w:rPr>
      </w:pPr>
      <w:r>
        <w:rPr>
          <w:rStyle w:val="1_631"/>
          <w:b w:val="0"/>
          <w:bCs w:val="0"/>
          <w:color w:val="auto"/>
          <w:sz w:val="18"/>
          <w:szCs w:val="18"/>
        </w:rPr>
        <w:t xml:space="preserve">Assinado em fevereiro de 1992, este tratado definiu os princípios da União Europeia e estabeleceu</w:t>
      </w:r>
      <w:r>
        <w:rPr>
          <w:rStyle w:val="1_631"/>
          <w:b w:val="0"/>
          <w:bCs w:val="0"/>
          <w:color w:val="auto"/>
          <w:sz w:val="18"/>
          <w:szCs w:val="18"/>
        </w:rPr>
        <w:t xml:space="preserve"> </w:t>
      </w:r>
      <w:r>
        <w:rPr>
          <w:rStyle w:val="1_631"/>
          <w:b w:val="0"/>
          <w:bCs w:val="0"/>
          <w:color w:val="auto"/>
          <w:sz w:val="18"/>
          <w:szCs w:val="18"/>
        </w:rPr>
        <w:t xml:space="preserve">a união política, económica e monetária com base na moeda única, o euro.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34" w:customStyle="1">
    <w:name w:val="FchN1"/>
    <w:uiPriority w:val="99"/>
    <w:rPr>
      <w:rFonts w:ascii="Arial" w:hAnsi="Arial"/>
      <w:b/>
      <w:caps w:val="0"/>
      <w:smallCaps w:val="0"/>
      <w:strike w:val="0"/>
      <w:vanish w:val="0"/>
      <w:color w:val="df4944"/>
      <w:sz w:val="22"/>
      <w:vertAlign w:val="baseline"/>
    </w:rPr>
  </w:style>
  <w:style w:type="character" w:styleId="1_631" w:customStyle="1">
    <w:name w:val="FchN2"/>
    <w:uiPriority w:val="1"/>
    <w:qFormat/>
    <w:rPr>
      <w:rFonts w:ascii="Arial" w:hAnsi="Arial" w:cs="Arial"/>
      <w:b/>
      <w:bCs/>
      <w:color w:val="df4944"/>
      <w:sz w:val="20"/>
      <w:szCs w:val="20"/>
      <w:lang w:val="pt-BR"/>
    </w:rPr>
  </w:style>
  <w:style w:type="paragraph" w:styleId="1_632" w:customStyle="1">
    <w:name w:val="FchNumber1"/>
    <w:qFormat/>
    <w:pPr>
      <w:contextualSpacing w:val="0"/>
      <w:ind w:left="340" w:right="0" w:hanging="340"/>
      <w:jc w:val="left"/>
      <w:keepLines w:val="0"/>
      <w:keepNext w:val="0"/>
      <w:pageBreakBefore w:val="0"/>
      <w:spacing w:before="400" w:beforeAutospacing="0" w:after="0" w:afterAutospacing="0" w:line="240" w:lineRule="atLeast"/>
      <w:shd w:val="nil" w:color="000000"/>
      <w:widowControl/>
      <w:tabs>
        <w:tab w:val="left" w:pos="34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1_633" w:customStyle="1">
    <w:name w:val="FchNumber2"/>
    <w:qFormat/>
    <w:pPr>
      <w:contextualSpacing w:val="0"/>
      <w:ind w:left="794" w:right="0" w:hanging="454"/>
      <w:jc w:val="left"/>
      <w:keepLines w:val="0"/>
      <w:keepNext w:val="0"/>
      <w:pageBreakBefore w:val="0"/>
      <w:spacing w:before="200" w:beforeAutospacing="0" w:after="0" w:afterAutospacing="0" w:line="240" w:lineRule="auto"/>
      <w:shd w:val="nil" w:color="000000"/>
      <w:widowControl w:val="off"/>
      <w:tabs>
        <w:tab w:val="left" w:pos="284" w:leader="none"/>
        <w:tab w:val="left" w:pos="79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pt-BR" w:eastAsia="pt-PT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2024-05-02T21:27:33Z</dcterms:modified>
</cp:coreProperties>
</file>